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52C8F0C3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3B1AA0C0" w14:textId="0C4F7F34" w:rsidR="004F6C9E" w:rsidRPr="004F6C9E" w:rsidRDefault="004F6C9E" w:rsidP="004F6C9E">
      <w:pPr>
        <w:pStyle w:val="Corpsdetexte"/>
      </w:pPr>
    </w:p>
    <w:p w14:paraId="3597F0D4" w14:textId="0E2B346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60BDECAA" w:rsidR="002711DA" w:rsidRDefault="005B1E0D" w:rsidP="002711DA">
      <w:pPr>
        <w:pStyle w:val="Corpsdetexte"/>
        <w:spacing w:line="240" w:lineRule="auto"/>
      </w:pPr>
      <w:r>
        <w:t>Circulaire n°2021</w:t>
      </w:r>
      <w:r w:rsidR="002711DA">
        <w:t>-</w:t>
      </w:r>
      <w:r w:rsidR="00B45A16">
        <w:t>0</w:t>
      </w:r>
      <w:r w:rsidR="00C6670D">
        <w:t>08</w:t>
      </w:r>
      <w:bookmarkStart w:id="0" w:name="_GoBack"/>
      <w:bookmarkEnd w:id="0"/>
      <w:r w:rsidR="00B45A16">
        <w:t xml:space="preserve"> du 26 janvier 2021</w:t>
      </w:r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Etablissement – unité - service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F65225">
        <w:trPr>
          <w:trHeight w:val="3567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F6522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427A06DE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0D" w:rsidRPr="00C6670D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054B289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7C" w:rsidRPr="00F9467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D4AB751" w14:textId="77777777" w:rsidR="00D76E0A" w:rsidRDefault="00D76E0A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7101D1">
      <w:rPr>
        <w:lang w:val="fr-FR"/>
      </w:rPr>
      <w:t xml:space="preserve">ATSS </w:t>
    </w:r>
  </w:p>
  <w:p w14:paraId="6B09C992" w14:textId="77777777" w:rsidR="006944FF" w:rsidRDefault="007101D1" w:rsidP="00311CC7">
    <w:pPr>
      <w:pStyle w:val="ServiceInfoHeader"/>
      <w:rPr>
        <w:lang w:val="fr-FR"/>
      </w:rPr>
    </w:pPr>
    <w:proofErr w:type="gramStart"/>
    <w:r>
      <w:rPr>
        <w:lang w:val="fr-FR"/>
      </w:rPr>
      <w:t>et</w:t>
    </w:r>
    <w:proofErr w:type="gramEnd"/>
    <w:r>
      <w:rPr>
        <w:lang w:val="fr-FR"/>
      </w:rPr>
      <w:t xml:space="preserve"> d’encadrement</w:t>
    </w:r>
  </w:p>
  <w:p w14:paraId="28BFA99A" w14:textId="574033FF" w:rsidR="00311CC7" w:rsidRDefault="006944FF" w:rsidP="00311CC7">
    <w:pPr>
      <w:pStyle w:val="ServiceInfoHeader"/>
      <w:rPr>
        <w:lang w:val="fr-FR"/>
      </w:rPr>
    </w:pPr>
    <w:r>
      <w:rPr>
        <w:lang w:val="fr-FR"/>
      </w:rPr>
      <w:t>DPAE</w:t>
    </w:r>
    <w:r w:rsidR="00311CC7">
      <w:rPr>
        <w:lang w:val="fr-FR"/>
      </w:rPr>
      <w:br/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1E0D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944FF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3F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5A16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670D"/>
    <w:rsid w:val="00C67312"/>
    <w:rsid w:val="00C7451D"/>
    <w:rsid w:val="00CD5E65"/>
    <w:rsid w:val="00CE16E3"/>
    <w:rsid w:val="00CE1BE6"/>
    <w:rsid w:val="00D10C52"/>
    <w:rsid w:val="00D23975"/>
    <w:rsid w:val="00D56BBE"/>
    <w:rsid w:val="00D76E0A"/>
    <w:rsid w:val="00D96935"/>
    <w:rsid w:val="00DA2090"/>
    <w:rsid w:val="00DC5BB5"/>
    <w:rsid w:val="00DD50D6"/>
    <w:rsid w:val="00E05336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9467C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c7ddd52-0a06-43b1-a35c-dcb15ea2e3f4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27A122-4611-48A2-8733-5EA7C7A2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2021-01-20T12:36:00Z</cp:lastPrinted>
  <dcterms:created xsi:type="dcterms:W3CDTF">2021-01-26T11:48:00Z</dcterms:created>
  <dcterms:modified xsi:type="dcterms:W3CDTF">2021-01-26T11:48:00Z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